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15" w:rsidRPr="00EB3CB3" w:rsidRDefault="00B11115" w:rsidP="00B11115">
      <w:pPr>
        <w:widowControl/>
        <w:spacing w:line="390" w:lineRule="atLeast"/>
        <w:jc w:val="center"/>
        <w:rPr>
          <w:rFonts w:ascii="方正小标宋简体" w:eastAsia="方正小标宋简体" w:hAnsi="宋体" w:cs="宋体" w:hint="eastAsia"/>
          <w:color w:val="2D2D2D"/>
          <w:kern w:val="0"/>
          <w:sz w:val="36"/>
          <w:szCs w:val="21"/>
        </w:rPr>
      </w:pPr>
      <w:r w:rsidRPr="00EB3CB3">
        <w:rPr>
          <w:rFonts w:ascii="方正小标宋简体" w:eastAsia="方正小标宋简体" w:hAnsi="宋体" w:cs="宋体" w:hint="eastAsia"/>
          <w:bCs/>
          <w:color w:val="2D2D2D"/>
          <w:kern w:val="0"/>
          <w:sz w:val="36"/>
          <w:szCs w:val="21"/>
        </w:rPr>
        <w:t>教育部办公厅</w:t>
      </w:r>
    </w:p>
    <w:p w:rsidR="00B11115" w:rsidRPr="00EB3CB3" w:rsidRDefault="00B11115" w:rsidP="00B11115">
      <w:pPr>
        <w:widowControl/>
        <w:spacing w:line="390" w:lineRule="atLeast"/>
        <w:jc w:val="center"/>
        <w:rPr>
          <w:rFonts w:ascii="方正小标宋简体" w:eastAsia="方正小标宋简体" w:hAnsi="宋体" w:cs="宋体" w:hint="eastAsia"/>
          <w:color w:val="2D2D2D"/>
          <w:kern w:val="0"/>
          <w:sz w:val="36"/>
          <w:szCs w:val="21"/>
        </w:rPr>
      </w:pPr>
      <w:r w:rsidRPr="00EB3CB3">
        <w:rPr>
          <w:rFonts w:ascii="方正小标宋简体" w:eastAsia="方正小标宋简体" w:hAnsi="宋体" w:cs="宋体" w:hint="eastAsia"/>
          <w:bCs/>
          <w:color w:val="2D2D2D"/>
          <w:kern w:val="0"/>
          <w:sz w:val="36"/>
          <w:szCs w:val="21"/>
        </w:rPr>
        <w:t>关于加强高等学校科研基础设施和科研仪器开放共享的指导意见</w:t>
      </w:r>
    </w:p>
    <w:p w:rsidR="00B11115" w:rsidRPr="00EB3CB3" w:rsidRDefault="00B11115" w:rsidP="00B11115">
      <w:pPr>
        <w:widowControl/>
        <w:spacing w:line="390" w:lineRule="atLeast"/>
        <w:jc w:val="center"/>
        <w:rPr>
          <w:rFonts w:ascii="仿宋_GB2312" w:eastAsia="仿宋_GB2312" w:hAnsi="宋体" w:cs="宋体" w:hint="eastAsia"/>
          <w:color w:val="2D2D2D"/>
          <w:kern w:val="0"/>
          <w:sz w:val="28"/>
          <w:szCs w:val="21"/>
        </w:rPr>
      </w:pPr>
      <w:proofErr w:type="gramStart"/>
      <w:r w:rsidRPr="00EB3CB3">
        <w:rPr>
          <w:rFonts w:ascii="仿宋_GB2312" w:eastAsia="仿宋_GB2312" w:hAnsi="宋体" w:cs="宋体" w:hint="eastAsia"/>
          <w:color w:val="2D2D2D"/>
          <w:kern w:val="0"/>
          <w:sz w:val="28"/>
          <w:szCs w:val="21"/>
        </w:rPr>
        <w:t>教技厅</w:t>
      </w:r>
      <w:proofErr w:type="gramEnd"/>
      <w:r w:rsidRPr="00EB3CB3">
        <w:rPr>
          <w:rFonts w:ascii="仿宋_GB2312" w:eastAsia="仿宋_GB2312" w:hAnsi="宋体" w:cs="宋体" w:hint="eastAsia"/>
          <w:color w:val="2D2D2D"/>
          <w:kern w:val="0"/>
          <w:sz w:val="28"/>
          <w:szCs w:val="21"/>
        </w:rPr>
        <w:t>〔2015〕4号</w:t>
      </w:r>
    </w:p>
    <w:p w:rsidR="00EB3CB3" w:rsidRPr="00B11115" w:rsidRDefault="00EB3CB3" w:rsidP="00B11115">
      <w:pPr>
        <w:widowControl/>
        <w:spacing w:line="390" w:lineRule="atLeast"/>
        <w:jc w:val="center"/>
        <w:rPr>
          <w:rFonts w:ascii="宋体" w:eastAsia="宋体" w:hAnsi="宋体" w:cs="宋体"/>
          <w:color w:val="2D2D2D"/>
          <w:kern w:val="0"/>
          <w:szCs w:val="21"/>
        </w:rPr>
      </w:pP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各省、自治区、直辖市教育厅(教委)，新疆生产建设兵团教育局，有关部门(单位)教育(科技)司(局)，部属各高等学校：</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为贯彻落实《国务院关于国家重大科研基础设施和大型科研仪器向社会开放的意见》(国发〔2014〕70号)精神，切实推进高等学校科研基础设施和科研仪器(以下简称科研设施与仪器)的全面开放、充分共享，提高科研设施与仪器使用、配置的效率和效益，提出以下指导意见。</w:t>
      </w:r>
    </w:p>
    <w:p w:rsidR="00B11115" w:rsidRPr="00EB3CB3" w:rsidRDefault="00B11115" w:rsidP="00EB3CB3">
      <w:pPr>
        <w:widowControl/>
        <w:spacing w:line="540" w:lineRule="exact"/>
        <w:jc w:val="left"/>
        <w:rPr>
          <w:rFonts w:ascii="仿宋_GB2312" w:eastAsia="仿宋_GB2312" w:hAnsi="宋体" w:cs="宋体" w:hint="eastAsia"/>
          <w:b/>
          <w:color w:val="2D2D2D"/>
          <w:kern w:val="0"/>
          <w:sz w:val="28"/>
          <w:szCs w:val="21"/>
        </w:rPr>
      </w:pPr>
      <w:r w:rsidRPr="00EB3CB3">
        <w:rPr>
          <w:rFonts w:ascii="仿宋_GB2312" w:eastAsia="仿宋_GB2312" w:hAnsi="宋体" w:cs="宋体" w:hint="eastAsia"/>
          <w:b/>
          <w:color w:val="2D2D2D"/>
          <w:kern w:val="0"/>
          <w:sz w:val="28"/>
          <w:szCs w:val="21"/>
        </w:rPr>
        <w:t xml:space="preserve">　　一、总体目标</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加强开放共享，服务创新。加快推进高等学校科研设施与仪器在保障本校教学科研基本需求的前提下向其他高校、科研院所、企业、社会研发组织等社会用户开放共享，并提供专业化服务，实现资源共享，充分释放服务潜能，支持创新创业，支持小型微型企业发展，为实施创新驱动发展战略和创新创业提供有效支撑。</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合理配置资源，提高效率。有力促进高等学校统筹管理现有科研设施与仪器，合理布局新增科研设施与仪器，避免重复建设和购置，杜绝闲置浪费现象，切实提高科研设施与仪器的利用效率和效益。</w:t>
      </w:r>
    </w:p>
    <w:p w:rsidR="00B11115" w:rsidRPr="00EB3CB3" w:rsidRDefault="00B11115" w:rsidP="00EB3CB3">
      <w:pPr>
        <w:widowControl/>
        <w:spacing w:line="540" w:lineRule="exact"/>
        <w:jc w:val="left"/>
        <w:rPr>
          <w:rFonts w:ascii="仿宋_GB2312" w:eastAsia="仿宋_GB2312" w:hAnsi="宋体" w:cs="宋体" w:hint="eastAsia"/>
          <w:b/>
          <w:color w:val="2D2D2D"/>
          <w:kern w:val="0"/>
          <w:sz w:val="28"/>
          <w:szCs w:val="21"/>
        </w:rPr>
      </w:pPr>
      <w:r w:rsidRPr="00EB3CB3">
        <w:rPr>
          <w:rFonts w:ascii="仿宋_GB2312" w:eastAsia="仿宋_GB2312" w:hAnsi="宋体" w:cs="宋体" w:hint="eastAsia"/>
          <w:b/>
          <w:color w:val="2D2D2D"/>
          <w:kern w:val="0"/>
          <w:sz w:val="28"/>
          <w:szCs w:val="21"/>
        </w:rPr>
        <w:t xml:space="preserve">　　二、组织管理</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1.加强引导和督查。高等学校的上级主管部门将高等学校科研设施与仪器开放共享水平和评估结果作为基地管理、科研管理的考评内容之一，把开放共享综合考评结果与规划发展再投入安排相结合，引</w:t>
      </w:r>
      <w:r w:rsidRPr="00EB3CB3">
        <w:rPr>
          <w:rFonts w:ascii="仿宋_GB2312" w:eastAsia="仿宋_GB2312" w:hAnsi="宋体" w:cs="宋体" w:hint="eastAsia"/>
          <w:color w:val="2D2D2D"/>
          <w:kern w:val="0"/>
          <w:sz w:val="28"/>
          <w:szCs w:val="21"/>
        </w:rPr>
        <w:lastRenderedPageBreak/>
        <w:t>导高等学校科研设施与仪器的共享共用。主管部门指导和监督高等学校向社会公布科研设施与仪器开放共享制度、实施情况及具体做法，并开展不定期督查。</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2.强化法人主体责任。高等学校是本单位科研设施与仪器开放共享的责任主体，要强化法人责任，切实履行实施科研设施与仪器开放共享职责。学校应设立由校领导牵头的工作组，统筹协调各相关职能部门，并明确专门管理机构和管理职能，制定本校科研设施与仪器开放共享实施细则，报上级主管部门备案，并负责具体实施。</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3.明确分级管理职责。高等学校应建立学校和下属二级单位共同推进本校科研设施与仪器开放共享的管理体制，明确学校、院系、研究团队分级管理职责，协同做好科研设施与仪器开放共享工作。</w:t>
      </w:r>
    </w:p>
    <w:p w:rsidR="00B11115" w:rsidRPr="00EB3CB3" w:rsidRDefault="00B11115" w:rsidP="00EB3CB3">
      <w:pPr>
        <w:widowControl/>
        <w:spacing w:line="540" w:lineRule="exact"/>
        <w:jc w:val="left"/>
        <w:rPr>
          <w:rFonts w:ascii="仿宋_GB2312" w:eastAsia="仿宋_GB2312" w:hAnsi="宋体" w:cs="宋体" w:hint="eastAsia"/>
          <w:b/>
          <w:color w:val="2D2D2D"/>
          <w:kern w:val="0"/>
          <w:sz w:val="28"/>
          <w:szCs w:val="21"/>
        </w:rPr>
      </w:pPr>
      <w:r w:rsidRPr="00EB3CB3">
        <w:rPr>
          <w:rFonts w:ascii="仿宋_GB2312" w:eastAsia="仿宋_GB2312" w:hAnsi="宋体" w:cs="宋体" w:hint="eastAsia"/>
          <w:b/>
          <w:color w:val="2D2D2D"/>
          <w:kern w:val="0"/>
          <w:sz w:val="28"/>
          <w:szCs w:val="21"/>
        </w:rPr>
        <w:t xml:space="preserve">　　三、重点工作</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1.建立开放共享机制。高等学校应建立科学有效的科研设施与仪器开放共享服务管理制度，认真梳理本校已有科研设施与仪器整体情况，包括设备原值、功能类型、专业领域、运行和开放共享情况等，建立符合学校实际的科研设施与仪器开放共享机制。除涉密、功能特殊、技术要求特殊、研究目的特殊等仪器设备之外，其他用于教学科研且具有一定共性需求的科研设施与仪器，特别是单台套价值在50万元以上的科研设施与仪器，均应纳入开放共享范围，提供开放共享服务。</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2.建设信息服务平台。高等学校应建立科研设施与仪器管理和开放共享的网络信息和服务平台，实现科研设施与仪器配置、管理、服务、监督、评价的有机衔接，并根据主管部门和地方政府要求统一纳入国家与地方网络管理平台，逐步形成跨学校、跨领域、多层次的网络服务体系。</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lastRenderedPageBreak/>
        <w:t xml:space="preserve">　　3.加强人才队伍建设。高等学校根据本单位科研设施与仪器开放、运行、使用和维护的技术需求，合理配置实验技术人员岗位，建立专业化、职业化技术服务队伍。要制定实验技术人员的岗位、培训、薪酬、评价和激励政策，充分调动技术服务人员积极性、稳定实验技术人才队伍，不断提高实验技术水平和开放服务水平。</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4.创新完善管理模式。高等学校可以借鉴分析测试中心或同类型大型仪器公共平台的模式，建立学校实体公共服务平台集中集约管理，也可以通过信息化手段建立分散配置但统一管理的虚拟公共平台，鼓励探索联合企业和社会力量参与科研设施与仪器服务机构建设管理和开展社会化服务的新模式。</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5.建立成本核算和服务收费管理机制。高等学校应按照成本补偿和非盈利性原则，建立科研设施与仪器开放服务收费管理机制，合理制定公开透明的成本核算和服务收费标准。开放共享服务收入纳入学校预算，由学校统一管理，并接受上级主管部门的监督。</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6.建立分类考核评价办法。对于通用科研设施与仪器，重点评价用户使用率、用户评价、有效服务机时、服务质量以及相关研究成果的产出、水平与贡献。对于专用科研设施与仪器，重点评价是否有效使用，是否有效组织了高水平的科研设施与仪器应用专业团队以及相关研究成果的产出、水平与贡献。</w:t>
      </w:r>
    </w:p>
    <w:p w:rsidR="00B11115" w:rsidRPr="00EB3CB3" w:rsidRDefault="00B11115" w:rsidP="00EB3CB3">
      <w:pPr>
        <w:widowControl/>
        <w:spacing w:line="540" w:lineRule="exact"/>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7.建立激励和调控机制。构建用户参与的绩效评价体系，探索开放共享后补助机制和校内调配制度，把科研设施与仪器开放共享效果与仪器新购和维护的资源投入挂钩，并根据开放效果和用户评价，对提供开放共享服务的单位和技术人员给予绩效奖励，调动科研设施与仪器开放共享积极性。</w:t>
      </w:r>
    </w:p>
    <w:p w:rsidR="00B11115" w:rsidRDefault="00B11115" w:rsidP="00EB3CB3">
      <w:pPr>
        <w:widowControl/>
        <w:spacing w:line="540" w:lineRule="exact"/>
        <w:ind w:firstLine="570"/>
        <w:jc w:val="lef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lastRenderedPageBreak/>
        <w:t>8.加强信息安全和知识产权保护。用户独立开展科学实验形成的知识产权由用户自主拥有，成果发表时应明确标注利用科研设施与仪器情况。高等学校要加强网络防护和网络环境下数据安全管理，依法保护用户身份信息以及在使用科研设施与仪器过程中形成的科学数据、技术秘密和知识产权。</w:t>
      </w:r>
    </w:p>
    <w:p w:rsidR="00EB3CB3" w:rsidRPr="00EB3CB3" w:rsidRDefault="00EB3CB3" w:rsidP="00EB3CB3">
      <w:pPr>
        <w:widowControl/>
        <w:spacing w:line="540" w:lineRule="exact"/>
        <w:ind w:firstLine="570"/>
        <w:jc w:val="left"/>
        <w:rPr>
          <w:rFonts w:ascii="仿宋_GB2312" w:eastAsia="仿宋_GB2312" w:hAnsi="宋体" w:cs="宋体" w:hint="eastAsia"/>
          <w:color w:val="2D2D2D"/>
          <w:kern w:val="0"/>
          <w:sz w:val="28"/>
          <w:szCs w:val="21"/>
        </w:rPr>
      </w:pPr>
      <w:bookmarkStart w:id="0" w:name="_GoBack"/>
      <w:bookmarkEnd w:id="0"/>
    </w:p>
    <w:p w:rsidR="00B11115" w:rsidRPr="00EB3CB3" w:rsidRDefault="00B11115" w:rsidP="00EB3CB3">
      <w:pPr>
        <w:widowControl/>
        <w:spacing w:line="540" w:lineRule="exact"/>
        <w:jc w:val="righ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教育部办公厅</w:t>
      </w:r>
    </w:p>
    <w:p w:rsidR="00B11115" w:rsidRPr="00EB3CB3" w:rsidRDefault="00B11115" w:rsidP="00EB3CB3">
      <w:pPr>
        <w:widowControl/>
        <w:spacing w:line="540" w:lineRule="exact"/>
        <w:jc w:val="right"/>
        <w:rPr>
          <w:rFonts w:ascii="仿宋_GB2312" w:eastAsia="仿宋_GB2312" w:hAnsi="宋体" w:cs="宋体" w:hint="eastAsia"/>
          <w:color w:val="2D2D2D"/>
          <w:kern w:val="0"/>
          <w:sz w:val="28"/>
          <w:szCs w:val="21"/>
        </w:rPr>
      </w:pPr>
      <w:r w:rsidRPr="00EB3CB3">
        <w:rPr>
          <w:rFonts w:ascii="仿宋_GB2312" w:eastAsia="仿宋_GB2312" w:hAnsi="宋体" w:cs="宋体" w:hint="eastAsia"/>
          <w:color w:val="2D2D2D"/>
          <w:kern w:val="0"/>
          <w:sz w:val="28"/>
          <w:szCs w:val="21"/>
        </w:rPr>
        <w:t xml:space="preserve">　　2015年12月25日</w:t>
      </w:r>
    </w:p>
    <w:p w:rsidR="003949E4" w:rsidRPr="00B11115" w:rsidRDefault="00F0245D"/>
    <w:sectPr w:rsidR="003949E4" w:rsidRPr="00B11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5D" w:rsidRDefault="00F0245D" w:rsidP="00B11115">
      <w:r>
        <w:separator/>
      </w:r>
    </w:p>
  </w:endnote>
  <w:endnote w:type="continuationSeparator" w:id="0">
    <w:p w:rsidR="00F0245D" w:rsidRDefault="00F0245D" w:rsidP="00B1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5D" w:rsidRDefault="00F0245D" w:rsidP="00B11115">
      <w:r>
        <w:separator/>
      </w:r>
    </w:p>
  </w:footnote>
  <w:footnote w:type="continuationSeparator" w:id="0">
    <w:p w:rsidR="00F0245D" w:rsidRDefault="00F0245D" w:rsidP="00B11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14"/>
    <w:rsid w:val="00017D9F"/>
    <w:rsid w:val="00094C4A"/>
    <w:rsid w:val="00147EE1"/>
    <w:rsid w:val="00211B77"/>
    <w:rsid w:val="00263814"/>
    <w:rsid w:val="00286FD6"/>
    <w:rsid w:val="0037737A"/>
    <w:rsid w:val="00457B38"/>
    <w:rsid w:val="00616A1A"/>
    <w:rsid w:val="00645094"/>
    <w:rsid w:val="006F0E46"/>
    <w:rsid w:val="007A196D"/>
    <w:rsid w:val="00814612"/>
    <w:rsid w:val="0089751B"/>
    <w:rsid w:val="00911802"/>
    <w:rsid w:val="00972A4C"/>
    <w:rsid w:val="009C1C21"/>
    <w:rsid w:val="00A371A5"/>
    <w:rsid w:val="00A5142C"/>
    <w:rsid w:val="00B11115"/>
    <w:rsid w:val="00BD027A"/>
    <w:rsid w:val="00D9255C"/>
    <w:rsid w:val="00D94F6D"/>
    <w:rsid w:val="00DA6637"/>
    <w:rsid w:val="00E67765"/>
    <w:rsid w:val="00EB3CB3"/>
    <w:rsid w:val="00EE234E"/>
    <w:rsid w:val="00F0245D"/>
    <w:rsid w:val="00F54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1115"/>
    <w:rPr>
      <w:sz w:val="18"/>
      <w:szCs w:val="18"/>
    </w:rPr>
  </w:style>
  <w:style w:type="paragraph" w:styleId="a4">
    <w:name w:val="footer"/>
    <w:basedOn w:val="a"/>
    <w:link w:val="Char0"/>
    <w:uiPriority w:val="99"/>
    <w:unhideWhenUsed/>
    <w:rsid w:val="00B11115"/>
    <w:pPr>
      <w:tabs>
        <w:tab w:val="center" w:pos="4153"/>
        <w:tab w:val="right" w:pos="8306"/>
      </w:tabs>
      <w:snapToGrid w:val="0"/>
      <w:jc w:val="left"/>
    </w:pPr>
    <w:rPr>
      <w:sz w:val="18"/>
      <w:szCs w:val="18"/>
    </w:rPr>
  </w:style>
  <w:style w:type="character" w:customStyle="1" w:styleId="Char0">
    <w:name w:val="页脚 Char"/>
    <w:basedOn w:val="a0"/>
    <w:link w:val="a4"/>
    <w:uiPriority w:val="99"/>
    <w:rsid w:val="00B111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1115"/>
    <w:rPr>
      <w:sz w:val="18"/>
      <w:szCs w:val="18"/>
    </w:rPr>
  </w:style>
  <w:style w:type="paragraph" w:styleId="a4">
    <w:name w:val="footer"/>
    <w:basedOn w:val="a"/>
    <w:link w:val="Char0"/>
    <w:uiPriority w:val="99"/>
    <w:unhideWhenUsed/>
    <w:rsid w:val="00B11115"/>
    <w:pPr>
      <w:tabs>
        <w:tab w:val="center" w:pos="4153"/>
        <w:tab w:val="right" w:pos="8306"/>
      </w:tabs>
      <w:snapToGrid w:val="0"/>
      <w:jc w:val="left"/>
    </w:pPr>
    <w:rPr>
      <w:sz w:val="18"/>
      <w:szCs w:val="18"/>
    </w:rPr>
  </w:style>
  <w:style w:type="character" w:customStyle="1" w:styleId="Char0">
    <w:name w:val="页脚 Char"/>
    <w:basedOn w:val="a0"/>
    <w:link w:val="a4"/>
    <w:uiPriority w:val="99"/>
    <w:rsid w:val="00B111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826076">
      <w:bodyDiv w:val="1"/>
      <w:marLeft w:val="0"/>
      <w:marRight w:val="0"/>
      <w:marTop w:val="0"/>
      <w:marBottom w:val="0"/>
      <w:divBdr>
        <w:top w:val="none" w:sz="0" w:space="0" w:color="auto"/>
        <w:left w:val="none" w:sz="0" w:space="0" w:color="auto"/>
        <w:bottom w:val="none" w:sz="0" w:space="0" w:color="auto"/>
        <w:right w:val="none" w:sz="0" w:space="0" w:color="auto"/>
      </w:divBdr>
      <w:divsChild>
        <w:div w:id="1097750440">
          <w:marLeft w:val="0"/>
          <w:marRight w:val="0"/>
          <w:marTop w:val="0"/>
          <w:marBottom w:val="0"/>
          <w:divBdr>
            <w:top w:val="none" w:sz="0" w:space="0" w:color="auto"/>
            <w:left w:val="none" w:sz="0" w:space="0" w:color="auto"/>
            <w:bottom w:val="none" w:sz="0" w:space="0" w:color="auto"/>
            <w:right w:val="none" w:sz="0" w:space="0" w:color="auto"/>
          </w:divBdr>
          <w:divsChild>
            <w:div w:id="806124818">
              <w:marLeft w:val="0"/>
              <w:marRight w:val="0"/>
              <w:marTop w:val="0"/>
              <w:marBottom w:val="0"/>
              <w:divBdr>
                <w:top w:val="none" w:sz="0" w:space="0" w:color="auto"/>
                <w:left w:val="none" w:sz="0" w:space="0" w:color="auto"/>
                <w:bottom w:val="none" w:sz="0" w:space="0" w:color="auto"/>
                <w:right w:val="none" w:sz="0" w:space="0" w:color="auto"/>
              </w:divBdr>
              <w:divsChild>
                <w:div w:id="923806604">
                  <w:marLeft w:val="0"/>
                  <w:marRight w:val="0"/>
                  <w:marTop w:val="120"/>
                  <w:marBottom w:val="0"/>
                  <w:divBdr>
                    <w:top w:val="none" w:sz="0" w:space="0" w:color="auto"/>
                    <w:left w:val="none" w:sz="0" w:space="0" w:color="auto"/>
                    <w:bottom w:val="none" w:sz="0" w:space="0" w:color="auto"/>
                    <w:right w:val="none" w:sz="0" w:space="0" w:color="auto"/>
                  </w:divBdr>
                  <w:divsChild>
                    <w:div w:id="1844128542">
                      <w:marLeft w:val="0"/>
                      <w:marRight w:val="0"/>
                      <w:marTop w:val="0"/>
                      <w:marBottom w:val="0"/>
                      <w:divBdr>
                        <w:top w:val="none" w:sz="0" w:space="0" w:color="auto"/>
                        <w:left w:val="none" w:sz="0" w:space="0" w:color="auto"/>
                        <w:bottom w:val="none" w:sz="0" w:space="0" w:color="auto"/>
                        <w:right w:val="none" w:sz="0" w:space="0" w:color="auto"/>
                      </w:divBdr>
                      <w:divsChild>
                        <w:div w:id="1054163091">
                          <w:marLeft w:val="0"/>
                          <w:marRight w:val="0"/>
                          <w:marTop w:val="0"/>
                          <w:marBottom w:val="0"/>
                          <w:divBdr>
                            <w:top w:val="none" w:sz="0" w:space="0" w:color="auto"/>
                            <w:left w:val="single" w:sz="6" w:space="15" w:color="CCCCCC"/>
                            <w:bottom w:val="single" w:sz="6" w:space="15" w:color="CCCCCC"/>
                            <w:right w:val="single" w:sz="6" w:space="15" w:color="CCCCCC"/>
                          </w:divBdr>
                          <w:divsChild>
                            <w:div w:id="75981065">
                              <w:marLeft w:val="0"/>
                              <w:marRight w:val="0"/>
                              <w:marTop w:val="150"/>
                              <w:marBottom w:val="0"/>
                              <w:divBdr>
                                <w:top w:val="none" w:sz="0" w:space="0" w:color="auto"/>
                                <w:left w:val="none" w:sz="0" w:space="0" w:color="auto"/>
                                <w:bottom w:val="none" w:sz="0" w:space="0" w:color="auto"/>
                                <w:right w:val="none" w:sz="0" w:space="0" w:color="auto"/>
                              </w:divBdr>
                              <w:divsChild>
                                <w:div w:id="1086918470">
                                  <w:marLeft w:val="0"/>
                                  <w:marRight w:val="0"/>
                                  <w:marTop w:val="0"/>
                                  <w:marBottom w:val="0"/>
                                  <w:divBdr>
                                    <w:top w:val="none" w:sz="0" w:space="0" w:color="auto"/>
                                    <w:left w:val="none" w:sz="0" w:space="0" w:color="auto"/>
                                    <w:bottom w:val="none" w:sz="0" w:space="0" w:color="auto"/>
                                    <w:right w:val="none" w:sz="0" w:space="0" w:color="auto"/>
                                  </w:divBdr>
                                  <w:divsChild>
                                    <w:div w:id="679741281">
                                      <w:marLeft w:val="0"/>
                                      <w:marRight w:val="0"/>
                                      <w:marTop w:val="0"/>
                                      <w:marBottom w:val="0"/>
                                      <w:divBdr>
                                        <w:top w:val="none" w:sz="0" w:space="0" w:color="auto"/>
                                        <w:left w:val="none" w:sz="0" w:space="0" w:color="auto"/>
                                        <w:bottom w:val="none" w:sz="0" w:space="0" w:color="auto"/>
                                        <w:right w:val="none" w:sz="0" w:space="0" w:color="auto"/>
                                      </w:divBdr>
                                    </w:div>
                                    <w:div w:id="272439549">
                                      <w:marLeft w:val="0"/>
                                      <w:marRight w:val="0"/>
                                      <w:marTop w:val="0"/>
                                      <w:marBottom w:val="0"/>
                                      <w:divBdr>
                                        <w:top w:val="none" w:sz="0" w:space="0" w:color="auto"/>
                                        <w:left w:val="none" w:sz="0" w:space="0" w:color="auto"/>
                                        <w:bottom w:val="none" w:sz="0" w:space="0" w:color="auto"/>
                                        <w:right w:val="none" w:sz="0" w:space="0" w:color="auto"/>
                                      </w:divBdr>
                                    </w:div>
                                    <w:div w:id="1093356420">
                                      <w:marLeft w:val="0"/>
                                      <w:marRight w:val="0"/>
                                      <w:marTop w:val="0"/>
                                      <w:marBottom w:val="0"/>
                                      <w:divBdr>
                                        <w:top w:val="none" w:sz="0" w:space="0" w:color="auto"/>
                                        <w:left w:val="none" w:sz="0" w:space="0" w:color="auto"/>
                                        <w:bottom w:val="none" w:sz="0" w:space="0" w:color="auto"/>
                                        <w:right w:val="none" w:sz="0" w:space="0" w:color="auto"/>
                                      </w:divBdr>
                                    </w:div>
                                    <w:div w:id="533931382">
                                      <w:marLeft w:val="0"/>
                                      <w:marRight w:val="0"/>
                                      <w:marTop w:val="0"/>
                                      <w:marBottom w:val="0"/>
                                      <w:divBdr>
                                        <w:top w:val="none" w:sz="0" w:space="0" w:color="auto"/>
                                        <w:left w:val="none" w:sz="0" w:space="0" w:color="auto"/>
                                        <w:bottom w:val="none" w:sz="0" w:space="0" w:color="auto"/>
                                        <w:right w:val="none" w:sz="0" w:space="0" w:color="auto"/>
                                      </w:divBdr>
                                    </w:div>
                                    <w:div w:id="592397847">
                                      <w:marLeft w:val="0"/>
                                      <w:marRight w:val="0"/>
                                      <w:marTop w:val="0"/>
                                      <w:marBottom w:val="0"/>
                                      <w:divBdr>
                                        <w:top w:val="none" w:sz="0" w:space="0" w:color="auto"/>
                                        <w:left w:val="none" w:sz="0" w:space="0" w:color="auto"/>
                                        <w:bottom w:val="none" w:sz="0" w:space="0" w:color="auto"/>
                                        <w:right w:val="none" w:sz="0" w:space="0" w:color="auto"/>
                                      </w:divBdr>
                                    </w:div>
                                    <w:div w:id="217981935">
                                      <w:marLeft w:val="0"/>
                                      <w:marRight w:val="0"/>
                                      <w:marTop w:val="0"/>
                                      <w:marBottom w:val="0"/>
                                      <w:divBdr>
                                        <w:top w:val="none" w:sz="0" w:space="0" w:color="auto"/>
                                        <w:left w:val="none" w:sz="0" w:space="0" w:color="auto"/>
                                        <w:bottom w:val="none" w:sz="0" w:space="0" w:color="auto"/>
                                        <w:right w:val="none" w:sz="0" w:space="0" w:color="auto"/>
                                      </w:divBdr>
                                    </w:div>
                                    <w:div w:id="517358072">
                                      <w:marLeft w:val="0"/>
                                      <w:marRight w:val="0"/>
                                      <w:marTop w:val="0"/>
                                      <w:marBottom w:val="0"/>
                                      <w:divBdr>
                                        <w:top w:val="none" w:sz="0" w:space="0" w:color="auto"/>
                                        <w:left w:val="none" w:sz="0" w:space="0" w:color="auto"/>
                                        <w:bottom w:val="none" w:sz="0" w:space="0" w:color="auto"/>
                                        <w:right w:val="none" w:sz="0" w:space="0" w:color="auto"/>
                                      </w:divBdr>
                                    </w:div>
                                    <w:div w:id="1594779722">
                                      <w:marLeft w:val="0"/>
                                      <w:marRight w:val="0"/>
                                      <w:marTop w:val="0"/>
                                      <w:marBottom w:val="0"/>
                                      <w:divBdr>
                                        <w:top w:val="none" w:sz="0" w:space="0" w:color="auto"/>
                                        <w:left w:val="none" w:sz="0" w:space="0" w:color="auto"/>
                                        <w:bottom w:val="none" w:sz="0" w:space="0" w:color="auto"/>
                                        <w:right w:val="none" w:sz="0" w:space="0" w:color="auto"/>
                                      </w:divBdr>
                                    </w:div>
                                    <w:div w:id="3629788">
                                      <w:marLeft w:val="0"/>
                                      <w:marRight w:val="0"/>
                                      <w:marTop w:val="0"/>
                                      <w:marBottom w:val="0"/>
                                      <w:divBdr>
                                        <w:top w:val="none" w:sz="0" w:space="0" w:color="auto"/>
                                        <w:left w:val="none" w:sz="0" w:space="0" w:color="auto"/>
                                        <w:bottom w:val="none" w:sz="0" w:space="0" w:color="auto"/>
                                        <w:right w:val="none" w:sz="0" w:space="0" w:color="auto"/>
                                      </w:divBdr>
                                    </w:div>
                                    <w:div w:id="767505408">
                                      <w:marLeft w:val="0"/>
                                      <w:marRight w:val="0"/>
                                      <w:marTop w:val="0"/>
                                      <w:marBottom w:val="0"/>
                                      <w:divBdr>
                                        <w:top w:val="none" w:sz="0" w:space="0" w:color="auto"/>
                                        <w:left w:val="none" w:sz="0" w:space="0" w:color="auto"/>
                                        <w:bottom w:val="none" w:sz="0" w:space="0" w:color="auto"/>
                                        <w:right w:val="none" w:sz="0" w:space="0" w:color="auto"/>
                                      </w:divBdr>
                                    </w:div>
                                    <w:div w:id="1782067820">
                                      <w:marLeft w:val="0"/>
                                      <w:marRight w:val="0"/>
                                      <w:marTop w:val="0"/>
                                      <w:marBottom w:val="0"/>
                                      <w:divBdr>
                                        <w:top w:val="none" w:sz="0" w:space="0" w:color="auto"/>
                                        <w:left w:val="none" w:sz="0" w:space="0" w:color="auto"/>
                                        <w:bottom w:val="none" w:sz="0" w:space="0" w:color="auto"/>
                                        <w:right w:val="none" w:sz="0" w:space="0" w:color="auto"/>
                                      </w:divBdr>
                                    </w:div>
                                    <w:div w:id="1880163753">
                                      <w:marLeft w:val="0"/>
                                      <w:marRight w:val="0"/>
                                      <w:marTop w:val="0"/>
                                      <w:marBottom w:val="0"/>
                                      <w:divBdr>
                                        <w:top w:val="none" w:sz="0" w:space="0" w:color="auto"/>
                                        <w:left w:val="none" w:sz="0" w:space="0" w:color="auto"/>
                                        <w:bottom w:val="none" w:sz="0" w:space="0" w:color="auto"/>
                                        <w:right w:val="none" w:sz="0" w:space="0" w:color="auto"/>
                                      </w:divBdr>
                                    </w:div>
                                    <w:div w:id="484468548">
                                      <w:marLeft w:val="0"/>
                                      <w:marRight w:val="0"/>
                                      <w:marTop w:val="0"/>
                                      <w:marBottom w:val="0"/>
                                      <w:divBdr>
                                        <w:top w:val="none" w:sz="0" w:space="0" w:color="auto"/>
                                        <w:left w:val="none" w:sz="0" w:space="0" w:color="auto"/>
                                        <w:bottom w:val="none" w:sz="0" w:space="0" w:color="auto"/>
                                        <w:right w:val="none" w:sz="0" w:space="0" w:color="auto"/>
                                      </w:divBdr>
                                    </w:div>
                                    <w:div w:id="1081873977">
                                      <w:marLeft w:val="0"/>
                                      <w:marRight w:val="0"/>
                                      <w:marTop w:val="0"/>
                                      <w:marBottom w:val="0"/>
                                      <w:divBdr>
                                        <w:top w:val="none" w:sz="0" w:space="0" w:color="auto"/>
                                        <w:left w:val="none" w:sz="0" w:space="0" w:color="auto"/>
                                        <w:bottom w:val="none" w:sz="0" w:space="0" w:color="auto"/>
                                        <w:right w:val="none" w:sz="0" w:space="0" w:color="auto"/>
                                      </w:divBdr>
                                    </w:div>
                                    <w:div w:id="241644301">
                                      <w:marLeft w:val="0"/>
                                      <w:marRight w:val="0"/>
                                      <w:marTop w:val="0"/>
                                      <w:marBottom w:val="0"/>
                                      <w:divBdr>
                                        <w:top w:val="none" w:sz="0" w:space="0" w:color="auto"/>
                                        <w:left w:val="none" w:sz="0" w:space="0" w:color="auto"/>
                                        <w:bottom w:val="none" w:sz="0" w:space="0" w:color="auto"/>
                                        <w:right w:val="none" w:sz="0" w:space="0" w:color="auto"/>
                                      </w:divBdr>
                                    </w:div>
                                    <w:div w:id="54622198">
                                      <w:marLeft w:val="0"/>
                                      <w:marRight w:val="0"/>
                                      <w:marTop w:val="0"/>
                                      <w:marBottom w:val="0"/>
                                      <w:divBdr>
                                        <w:top w:val="none" w:sz="0" w:space="0" w:color="auto"/>
                                        <w:left w:val="none" w:sz="0" w:space="0" w:color="auto"/>
                                        <w:bottom w:val="none" w:sz="0" w:space="0" w:color="auto"/>
                                        <w:right w:val="none" w:sz="0" w:space="0" w:color="auto"/>
                                      </w:divBdr>
                                    </w:div>
                                    <w:div w:id="1395814874">
                                      <w:marLeft w:val="0"/>
                                      <w:marRight w:val="0"/>
                                      <w:marTop w:val="0"/>
                                      <w:marBottom w:val="0"/>
                                      <w:divBdr>
                                        <w:top w:val="none" w:sz="0" w:space="0" w:color="auto"/>
                                        <w:left w:val="none" w:sz="0" w:space="0" w:color="auto"/>
                                        <w:bottom w:val="none" w:sz="0" w:space="0" w:color="auto"/>
                                        <w:right w:val="none" w:sz="0" w:space="0" w:color="auto"/>
                                      </w:divBdr>
                                    </w:div>
                                    <w:div w:id="18776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307</Words>
  <Characters>1754</Characters>
  <Application>Microsoft Office Word</Application>
  <DocSecurity>0</DocSecurity>
  <Lines>14</Lines>
  <Paragraphs>4</Paragraphs>
  <ScaleCrop>false</ScaleCrop>
  <Company>齐鲁工业大学</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董云</dc:creator>
  <cp:keywords/>
  <dc:description/>
  <cp:lastModifiedBy>董云</cp:lastModifiedBy>
  <cp:revision>3</cp:revision>
  <dcterms:created xsi:type="dcterms:W3CDTF">2018-03-29T06:47:00Z</dcterms:created>
  <dcterms:modified xsi:type="dcterms:W3CDTF">2018-04-11T11:18:00Z</dcterms:modified>
</cp:coreProperties>
</file>